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F02F3D" w:rsidRPr="00F02F3D" w:rsidTr="00F02F3D">
        <w:tc>
          <w:tcPr>
            <w:tcW w:w="9212"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5"/>
              <w:gridCol w:w="5515"/>
              <w:gridCol w:w="3016"/>
            </w:tblGrid>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jc w:val="center"/>
                    <w:rPr>
                      <w:rFonts w:ascii="Arial" w:eastAsia="Times New Roman" w:hAnsi="Arial" w:cs="Arial"/>
                      <w:b/>
                      <w:bCs/>
                      <w:sz w:val="28"/>
                      <w:szCs w:val="28"/>
                      <w:lang w:eastAsia="de-DE"/>
                    </w:rPr>
                  </w:pPr>
                  <w:r w:rsidRPr="00F02F3D">
                    <w:rPr>
                      <w:rFonts w:ascii="Arial" w:eastAsia="Times New Roman" w:hAnsi="Arial" w:cs="Arial"/>
                      <w:b/>
                      <w:bCs/>
                      <w:sz w:val="28"/>
                      <w:szCs w:val="28"/>
                      <w:lang w:eastAsia="de-DE"/>
                    </w:rPr>
                    <w:t> </w:t>
                  </w:r>
                </w:p>
              </w:tc>
              <w:tc>
                <w:tcPr>
                  <w:tcW w:w="0" w:type="auto"/>
                  <w:vAlign w:val="center"/>
                  <w:hideMark/>
                </w:tcPr>
                <w:p w:rsidR="00F02F3D" w:rsidRPr="00F02F3D" w:rsidRDefault="00F02F3D" w:rsidP="00591DA3">
                  <w:pPr>
                    <w:spacing w:after="0" w:line="240" w:lineRule="auto"/>
                    <w:jc w:val="center"/>
                    <w:rPr>
                      <w:rFonts w:ascii="Arial" w:eastAsia="Times New Roman" w:hAnsi="Arial" w:cs="Arial"/>
                      <w:b/>
                      <w:bCs/>
                      <w:sz w:val="28"/>
                      <w:szCs w:val="28"/>
                      <w:lang w:eastAsia="de-DE"/>
                    </w:rPr>
                  </w:pPr>
                  <w:r w:rsidRPr="00F02F3D">
                    <w:rPr>
                      <w:rFonts w:ascii="Arial" w:eastAsia="Times New Roman" w:hAnsi="Arial" w:cs="Arial"/>
                      <w:b/>
                      <w:bCs/>
                      <w:sz w:val="28"/>
                      <w:szCs w:val="28"/>
                      <w:lang w:eastAsia="de-DE"/>
                    </w:rPr>
                    <w:t>Baufortschritt/Gewerke</w:t>
                  </w:r>
                </w:p>
              </w:tc>
              <w:tc>
                <w:tcPr>
                  <w:tcW w:w="0" w:type="auto"/>
                  <w:vAlign w:val="center"/>
                  <w:hideMark/>
                </w:tcPr>
                <w:p w:rsidR="00F02F3D" w:rsidRPr="00F02F3D" w:rsidRDefault="00F02F3D" w:rsidP="00591DA3">
                  <w:pPr>
                    <w:spacing w:after="0" w:line="240" w:lineRule="auto"/>
                    <w:jc w:val="center"/>
                    <w:rPr>
                      <w:rFonts w:ascii="Arial" w:eastAsia="Times New Roman" w:hAnsi="Arial" w:cs="Arial"/>
                      <w:b/>
                      <w:bCs/>
                      <w:sz w:val="28"/>
                      <w:szCs w:val="28"/>
                      <w:lang w:eastAsia="de-DE"/>
                    </w:rPr>
                  </w:pPr>
                  <w:r w:rsidRPr="00F02F3D">
                    <w:rPr>
                      <w:rFonts w:ascii="Arial" w:eastAsia="Times New Roman" w:hAnsi="Arial" w:cs="Arial"/>
                      <w:b/>
                      <w:bCs/>
                      <w:sz w:val="28"/>
                      <w:szCs w:val="28"/>
                      <w:lang w:eastAsia="de-DE"/>
                    </w:rPr>
                    <w:t>Anteil in % (gemäß MaBV)</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1.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Baugrundstück nach Beginn der Erdarbeiten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30% der Gesamtsumme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2.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Rohbaufertigstellung einschließlich Zimmererarbeiten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40%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3.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Dachflächen, Dachrinnen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8%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4.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Rohinstallation der Heizungsanlagen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3%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5.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Rohinstallation der Sanitäranlagen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3%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6.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Rohinstallation der Elektroanlagen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3%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7.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Fenster mit Verglasung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10%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8.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Innenputz ohne </w:t>
                  </w:r>
                  <w:proofErr w:type="spellStart"/>
                  <w:r w:rsidRPr="00F02F3D">
                    <w:rPr>
                      <w:rFonts w:ascii="Arial" w:eastAsia="Times New Roman" w:hAnsi="Arial" w:cs="Arial"/>
                      <w:sz w:val="28"/>
                      <w:szCs w:val="28"/>
                      <w:lang w:eastAsia="de-DE"/>
                    </w:rPr>
                    <w:t>Beiputzarbeiten</w:t>
                  </w:r>
                  <w:proofErr w:type="spellEnd"/>
                  <w:r w:rsidRPr="00F02F3D">
                    <w:rPr>
                      <w:rFonts w:ascii="Arial" w:eastAsia="Times New Roman" w:hAnsi="Arial" w:cs="Arial"/>
                      <w:sz w:val="28"/>
                      <w:szCs w:val="28"/>
                      <w:lang w:eastAsia="de-DE"/>
                    </w:rPr>
                    <w:t xml:space="preserve">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6%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9.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Estrich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3%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10.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Fliesenarbeiten im Sanitärbereich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4%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11.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nach Bezugsfertigkeit (innen komplett fertig)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12%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12.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Fassadenarbeiten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3% der Restsumme </w:t>
                  </w:r>
                </w:p>
              </w:tc>
            </w:tr>
            <w:tr w:rsidR="00F02F3D" w:rsidRPr="00F02F3D" w:rsidTr="00591DA3">
              <w:trPr>
                <w:tblCellSpacing w:w="15" w:type="dxa"/>
                <w:jc w:val="center"/>
              </w:trPr>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13.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nach vollständiger Fertigstellung </w:t>
                  </w:r>
                </w:p>
              </w:tc>
              <w:tc>
                <w:tcPr>
                  <w:tcW w:w="0" w:type="auto"/>
                  <w:vAlign w:val="center"/>
                  <w:hideMark/>
                </w:tcPr>
                <w:p w:rsidR="00F02F3D" w:rsidRPr="00F02F3D" w:rsidRDefault="00F02F3D" w:rsidP="00591DA3">
                  <w:pPr>
                    <w:spacing w:after="0" w:line="240" w:lineRule="auto"/>
                    <w:rPr>
                      <w:rFonts w:ascii="Arial" w:eastAsia="Times New Roman" w:hAnsi="Arial" w:cs="Arial"/>
                      <w:sz w:val="28"/>
                      <w:szCs w:val="28"/>
                      <w:lang w:eastAsia="de-DE"/>
                    </w:rPr>
                  </w:pPr>
                  <w:r w:rsidRPr="00F02F3D">
                    <w:rPr>
                      <w:rFonts w:ascii="Arial" w:eastAsia="Times New Roman" w:hAnsi="Arial" w:cs="Arial"/>
                      <w:sz w:val="28"/>
                      <w:szCs w:val="28"/>
                      <w:lang w:eastAsia="de-DE"/>
                    </w:rPr>
                    <w:t xml:space="preserve">5% der Restsumme </w:t>
                  </w:r>
                </w:p>
              </w:tc>
            </w:tr>
          </w:tbl>
          <w:p w:rsidR="00F02F3D" w:rsidRPr="00F02F3D" w:rsidRDefault="00F02F3D">
            <w:pPr>
              <w:rPr>
                <w:rFonts w:ascii="Arial" w:hAnsi="Arial" w:cs="Arial"/>
                <w:sz w:val="28"/>
                <w:szCs w:val="28"/>
              </w:rPr>
            </w:pPr>
          </w:p>
        </w:tc>
      </w:tr>
    </w:tbl>
    <w:p w:rsidR="008C153D" w:rsidRDefault="008C153D" w:rsidP="00F02F3D">
      <w:pPr>
        <w:rPr>
          <w:rFonts w:ascii="Arial" w:hAnsi="Arial" w:cs="Arial"/>
          <w:sz w:val="28"/>
          <w:szCs w:val="28"/>
        </w:rPr>
      </w:pPr>
    </w:p>
    <w:p w:rsidR="00F02F3D" w:rsidRDefault="00F02F3D" w:rsidP="00F02F3D">
      <w:pPr>
        <w:rPr>
          <w:rFonts w:ascii="Arial" w:hAnsi="Arial" w:cs="Arial"/>
          <w:sz w:val="28"/>
          <w:szCs w:val="28"/>
        </w:rPr>
      </w:pPr>
    </w:p>
    <w:p w:rsidR="00F02F3D" w:rsidRPr="00F02F3D" w:rsidRDefault="00F02F3D" w:rsidP="00F02F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02F3D">
        <w:rPr>
          <w:rFonts w:ascii="Times New Roman" w:eastAsia="Times New Roman" w:hAnsi="Times New Roman" w:cs="Times New Roman"/>
          <w:b/>
          <w:bCs/>
          <w:sz w:val="27"/>
          <w:szCs w:val="27"/>
          <w:lang w:eastAsia="de-DE"/>
        </w:rPr>
        <w:t>Haus kaufen: Checkliste für die Kaufabwicklung</w:t>
      </w:r>
    </w:p>
    <w:p w:rsidR="00F02F3D" w:rsidRPr="00F02F3D" w:rsidRDefault="00F02F3D" w:rsidP="00F02F3D">
      <w:p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Grundlage für den Kauf eines bestehenden Hauses ist ein notariell beurkundeter Kaufvertrag. Darin verpflichtet sich der Verkäufer, das Grundstück samt Aufbauten an den Käufer zu übertragen. Der Interessent hingegen verpflichtet sich Grund und Haus zu kaufen. Laut BGB §313 muss ein Notar als unabhängiger und unparteiischer Rechtskundiger an dem Geschäft mitwirken und es beurkunden. Aus diesem Grund ist der Notar Ansprechpartner Nummer eins, wenn Fragen zum Kaufvertrag aufkommen.</w:t>
      </w:r>
    </w:p>
    <w:p w:rsidR="00F02F3D" w:rsidRPr="00F02F3D" w:rsidRDefault="00F02F3D" w:rsidP="00F02F3D">
      <w:p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Folgende Checkliste zeigt die einzelnen Schritte der Kaufabwicklung für Bestandsimmobilien:</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Verkäufer und Käufer einigen sich über den Kaufvertrag.</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Der Käufer legt dem Verkäufer eine schriftliche Finanzierungszusage seiner Bank vor.</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Im Anschluss daran vereinbart der Hauskäufer ein erstes informelles Gespräch mit dem Notar. Zu diesem Termin nimmt er alle wichtigen Unterlagen mit. Anschließend verfasst der Notar auf Basis der Hauskauf-Vereinbarungen zwischen beiden Parteien einen Vertrag.</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Beide Vertragsparteien prüfen den Entwurf des Kaufvertrags. Sind sie damit einverstanden, vereinbaren sie einen Notartermin zur Beurkundung des Vertrags.</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Ungefähr eine Woche nach der Beurkundung bekommen Käufer und Verkäufer den beglaubigten Kaufvertrag.</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lastRenderedPageBreak/>
        <w:t>Das Finanzamt schickt dem Käufer den Grunderwerbssteuerbescheid. Nach Bezahlung der Steuer kann das Eigentum auf den Namen des Käufers umgeschrieben werden.</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Falls bereits eine Grundschuld vorhanden war, sendet das Finanzamt dem Notar die Bewilligung zu, dass die alte Grundschuld gelöscht wird.</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Der Käufer überweist dem Verkäufer das Geld für Haus und Grund.</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Daraufhin wird ihm das Haus übergeben.</w:t>
      </w:r>
    </w:p>
    <w:p w:rsidR="00F02F3D" w:rsidRPr="00F02F3D" w:rsidRDefault="00F02F3D" w:rsidP="00F02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Das Grundbuchamt bestätigt, dass der Käufer als neuer Eigentümer der Immobilie eingetragen wurde.</w:t>
      </w:r>
    </w:p>
    <w:p w:rsidR="00F02F3D" w:rsidRPr="00F02F3D" w:rsidRDefault="00F02F3D" w:rsidP="00F02F3D">
      <w:p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Die Kaufabwicklung beim Erwerb eines Bauträgerhauses läuft anders ab. Während der Planungs- und Bauphase ist der Bauträger der Eigentümer des Grundstücks. Mit dem Verkauf des Grundes verpflichtet sich der Bauträger dort beispielsweise ein Haus zu bauen. Der Erwerber leistet zwar an den Bauträger Zahlungen gemäß Baufortschritt, wird aber selber erst spät zum Eigentümer der Immobilie. Wegen dieser Konstellation ist der Bauträgervertrag sehr umfangreich. Zum Vertragswerk zählt Folgendes:</w:t>
      </w:r>
    </w:p>
    <w:p w:rsidR="00F02F3D" w:rsidRPr="00F02F3D" w:rsidRDefault="00F02F3D" w:rsidP="00F02F3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Kaufvertrag mit Bauverpflichtung</w:t>
      </w:r>
    </w:p>
    <w:p w:rsidR="00F02F3D" w:rsidRPr="00F02F3D" w:rsidRDefault="00F02F3D" w:rsidP="00F02F3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Bau- und Leistungsbeschreibung</w:t>
      </w:r>
    </w:p>
    <w:p w:rsidR="00F02F3D" w:rsidRPr="00F02F3D" w:rsidRDefault="00F02F3D" w:rsidP="00F02F3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Lageplan</w:t>
      </w:r>
    </w:p>
    <w:p w:rsidR="00F02F3D" w:rsidRPr="00F02F3D" w:rsidRDefault="00F02F3D" w:rsidP="00F02F3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Baupläne und Bauzeichnungen</w:t>
      </w:r>
    </w:p>
    <w:p w:rsidR="00F02F3D" w:rsidRPr="00F02F3D" w:rsidRDefault="00F02F3D" w:rsidP="00F02F3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Beim Erwerb einer Eigentumswohnung muss eine Teilungserklärung, Gemeinschaftsordnung und Abgeschlossenheitsbescheinigung vorliegen</w:t>
      </w:r>
    </w:p>
    <w:p w:rsidR="00F02F3D" w:rsidRPr="00F02F3D" w:rsidRDefault="00F02F3D" w:rsidP="00F02F3D">
      <w:pPr>
        <w:spacing w:after="0"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noProof/>
          <w:sz w:val="24"/>
          <w:szCs w:val="24"/>
          <w:lang w:eastAsia="de-DE"/>
        </w:rPr>
        <w:drawing>
          <wp:inline distT="0" distB="0" distL="0" distR="0" wp14:anchorId="0A378D91" wp14:editId="103EB3E4">
            <wp:extent cx="3238500" cy="2162175"/>
            <wp:effectExtent l="0" t="0" r="0" b="9525"/>
            <wp:docPr id="1" name="Bild 1" descr="Wer ein Haus kauft, sollte den Kaufvertrag genau prüfen. Foto: Alexander Raths/foto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 ein Haus kauft, sollte den Kaufvertrag genau prüfen. Foto: Alexander Raths/fotoli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rsidR="00F02F3D" w:rsidRPr="00F02F3D" w:rsidRDefault="00F02F3D" w:rsidP="00F02F3D">
      <w:pPr>
        <w:spacing w:after="0"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 xml:space="preserve">Foto: Alexander Raths/fotolia.com </w:t>
      </w:r>
    </w:p>
    <w:p w:rsidR="00F02F3D" w:rsidRPr="00F02F3D" w:rsidRDefault="00F02F3D" w:rsidP="00F02F3D">
      <w:pPr>
        <w:spacing w:before="300" w:after="100" w:afterAutospacing="1"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sz w:val="24"/>
          <w:szCs w:val="24"/>
          <w:lang w:eastAsia="de-DE"/>
        </w:rPr>
        <w:t>Der Käufer sollte das Vertragswerk mindestens zwei Wochen vor der notariellen Beurkundung vollständig vorliegen haben. Zudem sollte sich der Notar um einen aktuellen Grundbuchauszug kümmern und Auskunft über das Baulastenverzeichnis geben.</w:t>
      </w:r>
      <w:r w:rsidRPr="00F02F3D">
        <w:rPr>
          <w:rFonts w:ascii="Times New Roman" w:eastAsia="Times New Roman" w:hAnsi="Times New Roman" w:cs="Times New Roman"/>
          <w:sz w:val="24"/>
          <w:szCs w:val="24"/>
          <w:lang w:eastAsia="de-DE"/>
        </w:rPr>
        <w:br/>
      </w:r>
      <w:r w:rsidRPr="00F02F3D">
        <w:rPr>
          <w:rFonts w:ascii="Times New Roman" w:eastAsia="Times New Roman" w:hAnsi="Times New Roman" w:cs="Times New Roman"/>
          <w:sz w:val="24"/>
          <w:szCs w:val="24"/>
          <w:lang w:eastAsia="de-DE"/>
        </w:rPr>
        <w:br/>
        <w:t>Der Bauherren-Schutzbund empfiehlt, den Vertrag von einem Baurechtsanwalt und einem Architekten oder Ingenieur auf Fallstricke prüfen zu lassen. Wenn der Vertrag in Ordnung ist und alle Fragen geklärt sind, steht dem Hauskauf nichts im Wege.</w:t>
      </w:r>
    </w:p>
    <w:p w:rsidR="00F02F3D" w:rsidRPr="00F02F3D" w:rsidRDefault="00F02F3D" w:rsidP="00F02F3D">
      <w:pPr>
        <w:spacing w:after="0"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noProof/>
          <w:color w:val="0000FF"/>
          <w:sz w:val="24"/>
          <w:szCs w:val="24"/>
          <w:lang w:eastAsia="de-DE"/>
        </w:rPr>
        <w:drawing>
          <wp:inline distT="0" distB="0" distL="0" distR="0" wp14:anchorId="1FEA7B45" wp14:editId="0187C636">
            <wp:extent cx="2076450" cy="571500"/>
            <wp:effectExtent l="0" t="0" r="0" b="0"/>
            <wp:docPr id="2" name="Bild 2" descr="Interhyp Baufinanzier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hyp Baufinanzieru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571500"/>
                    </a:xfrm>
                    <a:prstGeom prst="rect">
                      <a:avLst/>
                    </a:prstGeom>
                    <a:noFill/>
                    <a:ln>
                      <a:noFill/>
                    </a:ln>
                  </pic:spPr>
                </pic:pic>
              </a:graphicData>
            </a:graphic>
          </wp:inline>
        </w:drawing>
      </w:r>
    </w:p>
    <w:p w:rsidR="00F02F3D" w:rsidRPr="00F02F3D" w:rsidRDefault="00F02F3D" w:rsidP="00F02F3D">
      <w:pPr>
        <w:spacing w:after="0" w:line="240" w:lineRule="auto"/>
        <w:rPr>
          <w:rFonts w:ascii="Times New Roman" w:eastAsia="Times New Roman" w:hAnsi="Times New Roman" w:cs="Times New Roman"/>
          <w:sz w:val="24"/>
          <w:szCs w:val="24"/>
          <w:lang w:eastAsia="de-DE"/>
        </w:rPr>
      </w:pPr>
      <w:r w:rsidRPr="00F02F3D">
        <w:rPr>
          <w:rFonts w:ascii="Times New Roman" w:eastAsia="Times New Roman" w:hAnsi="Times New Roman" w:cs="Times New Roman"/>
          <w:b/>
          <w:bCs/>
          <w:sz w:val="24"/>
          <w:szCs w:val="24"/>
          <w:lang w:eastAsia="de-DE"/>
        </w:rPr>
        <w:t>Nebenkosten beim Hauskauf oder Hausbau</w:t>
      </w:r>
      <w:bookmarkStart w:id="0" w:name="_GoBack"/>
      <w:bookmarkEnd w:id="0"/>
    </w:p>
    <w:sectPr w:rsidR="00F02F3D" w:rsidRPr="00F02F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663"/>
    <w:multiLevelType w:val="multilevel"/>
    <w:tmpl w:val="FFA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43A64"/>
    <w:multiLevelType w:val="multilevel"/>
    <w:tmpl w:val="ACE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B035C"/>
    <w:multiLevelType w:val="multilevel"/>
    <w:tmpl w:val="40F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27C8E"/>
    <w:multiLevelType w:val="multilevel"/>
    <w:tmpl w:val="7430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D6252"/>
    <w:multiLevelType w:val="multilevel"/>
    <w:tmpl w:val="5D84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F1"/>
    <w:rsid w:val="007256C7"/>
    <w:rsid w:val="008C153D"/>
    <w:rsid w:val="00F02F3D"/>
    <w:rsid w:val="00F06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068F1"/>
    <w:rPr>
      <w:color w:val="0000FF"/>
      <w:u w:val="single"/>
    </w:rPr>
  </w:style>
  <w:style w:type="paragraph" w:styleId="StandardWeb">
    <w:name w:val="Normal (Web)"/>
    <w:basedOn w:val="Standard"/>
    <w:uiPriority w:val="99"/>
    <w:semiHidden/>
    <w:unhideWhenUsed/>
    <w:rsid w:val="00F068F1"/>
    <w:pPr>
      <w:spacing w:before="100" w:beforeAutospacing="1" w:after="100" w:afterAutospacing="1" w:line="240" w:lineRule="auto"/>
    </w:pPr>
    <w:rPr>
      <w:rFonts w:ascii="Times New Roman" w:hAnsi="Times New Roman" w:cs="Times New Roman"/>
      <w:sz w:val="24"/>
      <w:szCs w:val="24"/>
      <w:lang w:eastAsia="de-DE"/>
    </w:rPr>
  </w:style>
  <w:style w:type="table" w:styleId="Tabellenraster">
    <w:name w:val="Table Grid"/>
    <w:basedOn w:val="NormaleTabelle"/>
    <w:uiPriority w:val="59"/>
    <w:rsid w:val="00F0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2F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068F1"/>
    <w:rPr>
      <w:color w:val="0000FF"/>
      <w:u w:val="single"/>
    </w:rPr>
  </w:style>
  <w:style w:type="paragraph" w:styleId="StandardWeb">
    <w:name w:val="Normal (Web)"/>
    <w:basedOn w:val="Standard"/>
    <w:uiPriority w:val="99"/>
    <w:semiHidden/>
    <w:unhideWhenUsed/>
    <w:rsid w:val="00F068F1"/>
    <w:pPr>
      <w:spacing w:before="100" w:beforeAutospacing="1" w:after="100" w:afterAutospacing="1" w:line="240" w:lineRule="auto"/>
    </w:pPr>
    <w:rPr>
      <w:rFonts w:ascii="Times New Roman" w:hAnsi="Times New Roman" w:cs="Times New Roman"/>
      <w:sz w:val="24"/>
      <w:szCs w:val="24"/>
      <w:lang w:eastAsia="de-DE"/>
    </w:rPr>
  </w:style>
  <w:style w:type="table" w:styleId="Tabellenraster">
    <w:name w:val="Table Grid"/>
    <w:basedOn w:val="NormaleTabelle"/>
    <w:uiPriority w:val="59"/>
    <w:rsid w:val="00F0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2F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551">
      <w:bodyDiv w:val="1"/>
      <w:marLeft w:val="0"/>
      <w:marRight w:val="0"/>
      <w:marTop w:val="0"/>
      <w:marBottom w:val="0"/>
      <w:divBdr>
        <w:top w:val="none" w:sz="0" w:space="0" w:color="auto"/>
        <w:left w:val="none" w:sz="0" w:space="0" w:color="auto"/>
        <w:bottom w:val="none" w:sz="0" w:space="0" w:color="auto"/>
        <w:right w:val="none" w:sz="0" w:space="0" w:color="auto"/>
      </w:divBdr>
    </w:div>
    <w:div w:id="907350757">
      <w:bodyDiv w:val="1"/>
      <w:marLeft w:val="0"/>
      <w:marRight w:val="0"/>
      <w:marTop w:val="0"/>
      <w:marBottom w:val="0"/>
      <w:divBdr>
        <w:top w:val="none" w:sz="0" w:space="0" w:color="auto"/>
        <w:left w:val="none" w:sz="0" w:space="0" w:color="auto"/>
        <w:bottom w:val="none" w:sz="0" w:space="0" w:color="auto"/>
        <w:right w:val="none" w:sz="0" w:space="0" w:color="auto"/>
      </w:divBdr>
    </w:div>
    <w:div w:id="1401833288">
      <w:bodyDiv w:val="1"/>
      <w:marLeft w:val="0"/>
      <w:marRight w:val="0"/>
      <w:marTop w:val="0"/>
      <w:marBottom w:val="0"/>
      <w:divBdr>
        <w:top w:val="none" w:sz="0" w:space="0" w:color="auto"/>
        <w:left w:val="none" w:sz="0" w:space="0" w:color="auto"/>
        <w:bottom w:val="none" w:sz="0" w:space="0" w:color="auto"/>
        <w:right w:val="none" w:sz="0" w:space="0" w:color="auto"/>
      </w:divBdr>
      <w:divsChild>
        <w:div w:id="815611523">
          <w:marLeft w:val="0"/>
          <w:marRight w:val="0"/>
          <w:marTop w:val="0"/>
          <w:marBottom w:val="0"/>
          <w:divBdr>
            <w:top w:val="none" w:sz="0" w:space="0" w:color="auto"/>
            <w:left w:val="none" w:sz="0" w:space="0" w:color="auto"/>
            <w:bottom w:val="none" w:sz="0" w:space="0" w:color="auto"/>
            <w:right w:val="none" w:sz="0" w:space="0" w:color="auto"/>
          </w:divBdr>
          <w:divsChild>
            <w:div w:id="2119982564">
              <w:marLeft w:val="0"/>
              <w:marRight w:val="0"/>
              <w:marTop w:val="0"/>
              <w:marBottom w:val="0"/>
              <w:divBdr>
                <w:top w:val="none" w:sz="0" w:space="0" w:color="auto"/>
                <w:left w:val="none" w:sz="0" w:space="0" w:color="auto"/>
                <w:bottom w:val="none" w:sz="0" w:space="0" w:color="auto"/>
                <w:right w:val="none" w:sz="0" w:space="0" w:color="auto"/>
              </w:divBdr>
              <w:divsChild>
                <w:div w:id="1302151699">
                  <w:marLeft w:val="0"/>
                  <w:marRight w:val="0"/>
                  <w:marTop w:val="0"/>
                  <w:marBottom w:val="0"/>
                  <w:divBdr>
                    <w:top w:val="none" w:sz="0" w:space="0" w:color="auto"/>
                    <w:left w:val="none" w:sz="0" w:space="0" w:color="auto"/>
                    <w:bottom w:val="none" w:sz="0" w:space="0" w:color="auto"/>
                    <w:right w:val="none" w:sz="0" w:space="0" w:color="auto"/>
                  </w:divBdr>
                </w:div>
              </w:divsChild>
            </w:div>
            <w:div w:id="724135868">
              <w:marLeft w:val="0"/>
              <w:marRight w:val="0"/>
              <w:marTop w:val="0"/>
              <w:marBottom w:val="0"/>
              <w:divBdr>
                <w:top w:val="none" w:sz="0" w:space="0" w:color="auto"/>
                <w:left w:val="none" w:sz="0" w:space="0" w:color="auto"/>
                <w:bottom w:val="none" w:sz="0" w:space="0" w:color="auto"/>
                <w:right w:val="none" w:sz="0" w:space="0" w:color="auto"/>
              </w:divBdr>
              <w:divsChild>
                <w:div w:id="881207188">
                  <w:marLeft w:val="0"/>
                  <w:marRight w:val="0"/>
                  <w:marTop w:val="0"/>
                  <w:marBottom w:val="0"/>
                  <w:divBdr>
                    <w:top w:val="none" w:sz="0" w:space="0" w:color="auto"/>
                    <w:left w:val="none" w:sz="0" w:space="0" w:color="auto"/>
                    <w:bottom w:val="none" w:sz="0" w:space="0" w:color="auto"/>
                    <w:right w:val="none" w:sz="0" w:space="0" w:color="auto"/>
                  </w:divBdr>
                  <w:divsChild>
                    <w:div w:id="1718580684">
                      <w:marLeft w:val="0"/>
                      <w:marRight w:val="0"/>
                      <w:marTop w:val="0"/>
                      <w:marBottom w:val="0"/>
                      <w:divBdr>
                        <w:top w:val="none" w:sz="0" w:space="0" w:color="auto"/>
                        <w:left w:val="none" w:sz="0" w:space="0" w:color="auto"/>
                        <w:bottom w:val="none" w:sz="0" w:space="0" w:color="auto"/>
                        <w:right w:val="none" w:sz="0" w:space="0" w:color="auto"/>
                      </w:divBdr>
                      <w:divsChild>
                        <w:div w:id="651259097">
                          <w:marLeft w:val="0"/>
                          <w:marRight w:val="0"/>
                          <w:marTop w:val="0"/>
                          <w:marBottom w:val="0"/>
                          <w:divBdr>
                            <w:top w:val="none" w:sz="0" w:space="0" w:color="auto"/>
                            <w:left w:val="none" w:sz="0" w:space="0" w:color="auto"/>
                            <w:bottom w:val="none" w:sz="0" w:space="0" w:color="auto"/>
                            <w:right w:val="none" w:sz="0" w:space="0" w:color="auto"/>
                          </w:divBdr>
                          <w:divsChild>
                            <w:div w:id="1601058824">
                              <w:marLeft w:val="0"/>
                              <w:marRight w:val="0"/>
                              <w:marTop w:val="0"/>
                              <w:marBottom w:val="0"/>
                              <w:divBdr>
                                <w:top w:val="none" w:sz="0" w:space="0" w:color="auto"/>
                                <w:left w:val="none" w:sz="0" w:space="0" w:color="auto"/>
                                <w:bottom w:val="none" w:sz="0" w:space="0" w:color="auto"/>
                                <w:right w:val="none" w:sz="0" w:space="0" w:color="auto"/>
                              </w:divBdr>
                              <w:divsChild>
                                <w:div w:id="165444589">
                                  <w:marLeft w:val="0"/>
                                  <w:marRight w:val="0"/>
                                  <w:marTop w:val="0"/>
                                  <w:marBottom w:val="0"/>
                                  <w:divBdr>
                                    <w:top w:val="none" w:sz="0" w:space="0" w:color="auto"/>
                                    <w:left w:val="none" w:sz="0" w:space="0" w:color="auto"/>
                                    <w:bottom w:val="none" w:sz="0" w:space="0" w:color="auto"/>
                                    <w:right w:val="none" w:sz="0" w:space="0" w:color="auto"/>
                                  </w:divBdr>
                                </w:div>
                                <w:div w:id="307365811">
                                  <w:marLeft w:val="0"/>
                                  <w:marRight w:val="0"/>
                                  <w:marTop w:val="0"/>
                                  <w:marBottom w:val="0"/>
                                  <w:divBdr>
                                    <w:top w:val="none" w:sz="0" w:space="0" w:color="auto"/>
                                    <w:left w:val="none" w:sz="0" w:space="0" w:color="auto"/>
                                    <w:bottom w:val="none" w:sz="0" w:space="0" w:color="auto"/>
                                    <w:right w:val="none" w:sz="0" w:space="0" w:color="auto"/>
                                  </w:divBdr>
                                  <w:divsChild>
                                    <w:div w:id="1568028881">
                                      <w:marLeft w:val="0"/>
                                      <w:marRight w:val="0"/>
                                      <w:marTop w:val="0"/>
                                      <w:marBottom w:val="0"/>
                                      <w:divBdr>
                                        <w:top w:val="none" w:sz="0" w:space="0" w:color="auto"/>
                                        <w:left w:val="none" w:sz="0" w:space="0" w:color="auto"/>
                                        <w:bottom w:val="none" w:sz="0" w:space="0" w:color="auto"/>
                                        <w:right w:val="none" w:sz="0" w:space="0" w:color="auto"/>
                                      </w:divBdr>
                                    </w:div>
                                    <w:div w:id="1322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93613">
                  <w:marLeft w:val="0"/>
                  <w:marRight w:val="0"/>
                  <w:marTop w:val="0"/>
                  <w:marBottom w:val="0"/>
                  <w:divBdr>
                    <w:top w:val="none" w:sz="0" w:space="0" w:color="auto"/>
                    <w:left w:val="none" w:sz="0" w:space="0" w:color="auto"/>
                    <w:bottom w:val="none" w:sz="0" w:space="0" w:color="auto"/>
                    <w:right w:val="none" w:sz="0" w:space="0" w:color="auto"/>
                  </w:divBdr>
                  <w:divsChild>
                    <w:div w:id="794448940">
                      <w:marLeft w:val="0"/>
                      <w:marRight w:val="0"/>
                      <w:marTop w:val="0"/>
                      <w:marBottom w:val="0"/>
                      <w:divBdr>
                        <w:top w:val="none" w:sz="0" w:space="0" w:color="auto"/>
                        <w:left w:val="none" w:sz="0" w:space="0" w:color="auto"/>
                        <w:bottom w:val="none" w:sz="0" w:space="0" w:color="auto"/>
                        <w:right w:val="none" w:sz="0" w:space="0" w:color="auto"/>
                      </w:divBdr>
                      <w:divsChild>
                        <w:div w:id="15072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309">
                  <w:marLeft w:val="0"/>
                  <w:marRight w:val="0"/>
                  <w:marTop w:val="0"/>
                  <w:marBottom w:val="0"/>
                  <w:divBdr>
                    <w:top w:val="none" w:sz="0" w:space="0" w:color="auto"/>
                    <w:left w:val="none" w:sz="0" w:space="0" w:color="auto"/>
                    <w:bottom w:val="none" w:sz="0" w:space="0" w:color="auto"/>
                    <w:right w:val="none" w:sz="0" w:space="0" w:color="auto"/>
                  </w:divBdr>
                  <w:divsChild>
                    <w:div w:id="573051496">
                      <w:marLeft w:val="0"/>
                      <w:marRight w:val="0"/>
                      <w:marTop w:val="0"/>
                      <w:marBottom w:val="0"/>
                      <w:divBdr>
                        <w:top w:val="none" w:sz="0" w:space="0" w:color="auto"/>
                        <w:left w:val="none" w:sz="0" w:space="0" w:color="auto"/>
                        <w:bottom w:val="none" w:sz="0" w:space="0" w:color="auto"/>
                        <w:right w:val="none" w:sz="0" w:space="0" w:color="auto"/>
                      </w:divBdr>
                      <w:divsChild>
                        <w:div w:id="11075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5799">
                  <w:marLeft w:val="0"/>
                  <w:marRight w:val="0"/>
                  <w:marTop w:val="0"/>
                  <w:marBottom w:val="0"/>
                  <w:divBdr>
                    <w:top w:val="none" w:sz="0" w:space="0" w:color="auto"/>
                    <w:left w:val="none" w:sz="0" w:space="0" w:color="auto"/>
                    <w:bottom w:val="none" w:sz="0" w:space="0" w:color="auto"/>
                    <w:right w:val="none" w:sz="0" w:space="0" w:color="auto"/>
                  </w:divBdr>
                </w:div>
                <w:div w:id="150174508">
                  <w:marLeft w:val="0"/>
                  <w:marRight w:val="0"/>
                  <w:marTop w:val="0"/>
                  <w:marBottom w:val="0"/>
                  <w:divBdr>
                    <w:top w:val="none" w:sz="0" w:space="0" w:color="auto"/>
                    <w:left w:val="none" w:sz="0" w:space="0" w:color="auto"/>
                    <w:bottom w:val="none" w:sz="0" w:space="0" w:color="auto"/>
                    <w:right w:val="none" w:sz="0" w:space="0" w:color="auto"/>
                  </w:divBdr>
                </w:div>
                <w:div w:id="1855268903">
                  <w:marLeft w:val="0"/>
                  <w:marRight w:val="0"/>
                  <w:marTop w:val="0"/>
                  <w:marBottom w:val="0"/>
                  <w:divBdr>
                    <w:top w:val="none" w:sz="0" w:space="0" w:color="auto"/>
                    <w:left w:val="none" w:sz="0" w:space="0" w:color="auto"/>
                    <w:bottom w:val="none" w:sz="0" w:space="0" w:color="auto"/>
                    <w:right w:val="none" w:sz="0" w:space="0" w:color="auto"/>
                  </w:divBdr>
                </w:div>
                <w:div w:id="1715234020">
                  <w:marLeft w:val="0"/>
                  <w:marRight w:val="0"/>
                  <w:marTop w:val="0"/>
                  <w:marBottom w:val="0"/>
                  <w:divBdr>
                    <w:top w:val="none" w:sz="0" w:space="0" w:color="auto"/>
                    <w:left w:val="none" w:sz="0" w:space="0" w:color="auto"/>
                    <w:bottom w:val="none" w:sz="0" w:space="0" w:color="auto"/>
                    <w:right w:val="none" w:sz="0" w:space="0" w:color="auto"/>
                  </w:divBdr>
                </w:div>
                <w:div w:id="832066361">
                  <w:marLeft w:val="0"/>
                  <w:marRight w:val="0"/>
                  <w:marTop w:val="0"/>
                  <w:marBottom w:val="0"/>
                  <w:divBdr>
                    <w:top w:val="none" w:sz="0" w:space="0" w:color="auto"/>
                    <w:left w:val="none" w:sz="0" w:space="0" w:color="auto"/>
                    <w:bottom w:val="none" w:sz="0" w:space="0" w:color="auto"/>
                    <w:right w:val="none" w:sz="0" w:space="0" w:color="auto"/>
                  </w:divBdr>
                </w:div>
                <w:div w:id="1273434986">
                  <w:marLeft w:val="0"/>
                  <w:marRight w:val="0"/>
                  <w:marTop w:val="0"/>
                  <w:marBottom w:val="0"/>
                  <w:divBdr>
                    <w:top w:val="none" w:sz="0" w:space="0" w:color="auto"/>
                    <w:left w:val="none" w:sz="0" w:space="0" w:color="auto"/>
                    <w:bottom w:val="none" w:sz="0" w:space="0" w:color="auto"/>
                    <w:right w:val="none" w:sz="0" w:space="0" w:color="auto"/>
                  </w:divBdr>
                </w:div>
                <w:div w:id="1443187376">
                  <w:marLeft w:val="0"/>
                  <w:marRight w:val="0"/>
                  <w:marTop w:val="0"/>
                  <w:marBottom w:val="0"/>
                  <w:divBdr>
                    <w:top w:val="none" w:sz="0" w:space="0" w:color="auto"/>
                    <w:left w:val="none" w:sz="0" w:space="0" w:color="auto"/>
                    <w:bottom w:val="none" w:sz="0" w:space="0" w:color="auto"/>
                    <w:right w:val="none" w:sz="0" w:space="0" w:color="auto"/>
                  </w:divBdr>
                </w:div>
                <w:div w:id="1898541764">
                  <w:marLeft w:val="0"/>
                  <w:marRight w:val="0"/>
                  <w:marTop w:val="0"/>
                  <w:marBottom w:val="0"/>
                  <w:divBdr>
                    <w:top w:val="none" w:sz="0" w:space="0" w:color="auto"/>
                    <w:left w:val="none" w:sz="0" w:space="0" w:color="auto"/>
                    <w:bottom w:val="none" w:sz="0" w:space="0" w:color="auto"/>
                    <w:right w:val="none" w:sz="0" w:space="0" w:color="auto"/>
                  </w:divBdr>
                </w:div>
                <w:div w:id="2081831219">
                  <w:marLeft w:val="0"/>
                  <w:marRight w:val="0"/>
                  <w:marTop w:val="0"/>
                  <w:marBottom w:val="0"/>
                  <w:divBdr>
                    <w:top w:val="none" w:sz="0" w:space="0" w:color="auto"/>
                    <w:left w:val="none" w:sz="0" w:space="0" w:color="auto"/>
                    <w:bottom w:val="none" w:sz="0" w:space="0" w:color="auto"/>
                    <w:right w:val="none" w:sz="0" w:space="0" w:color="auto"/>
                  </w:divBdr>
                </w:div>
                <w:div w:id="1736586269">
                  <w:marLeft w:val="0"/>
                  <w:marRight w:val="0"/>
                  <w:marTop w:val="0"/>
                  <w:marBottom w:val="0"/>
                  <w:divBdr>
                    <w:top w:val="none" w:sz="0" w:space="0" w:color="auto"/>
                    <w:left w:val="none" w:sz="0" w:space="0" w:color="auto"/>
                    <w:bottom w:val="none" w:sz="0" w:space="0" w:color="auto"/>
                    <w:right w:val="none" w:sz="0" w:space="0" w:color="auto"/>
                  </w:divBdr>
                </w:div>
                <w:div w:id="1473257454">
                  <w:marLeft w:val="0"/>
                  <w:marRight w:val="0"/>
                  <w:marTop w:val="0"/>
                  <w:marBottom w:val="0"/>
                  <w:divBdr>
                    <w:top w:val="none" w:sz="0" w:space="0" w:color="auto"/>
                    <w:left w:val="none" w:sz="0" w:space="0" w:color="auto"/>
                    <w:bottom w:val="none" w:sz="0" w:space="0" w:color="auto"/>
                    <w:right w:val="none" w:sz="0" w:space="0" w:color="auto"/>
                  </w:divBdr>
                </w:div>
                <w:div w:id="111560405">
                  <w:marLeft w:val="0"/>
                  <w:marRight w:val="0"/>
                  <w:marTop w:val="0"/>
                  <w:marBottom w:val="0"/>
                  <w:divBdr>
                    <w:top w:val="none" w:sz="0" w:space="0" w:color="auto"/>
                    <w:left w:val="none" w:sz="0" w:space="0" w:color="auto"/>
                    <w:bottom w:val="none" w:sz="0" w:space="0" w:color="auto"/>
                    <w:right w:val="none" w:sz="0" w:space="0" w:color="auto"/>
                  </w:divBdr>
                </w:div>
                <w:div w:id="1687175269">
                  <w:marLeft w:val="0"/>
                  <w:marRight w:val="0"/>
                  <w:marTop w:val="0"/>
                  <w:marBottom w:val="0"/>
                  <w:divBdr>
                    <w:top w:val="none" w:sz="0" w:space="0" w:color="auto"/>
                    <w:left w:val="none" w:sz="0" w:space="0" w:color="auto"/>
                    <w:bottom w:val="none" w:sz="0" w:space="0" w:color="auto"/>
                    <w:right w:val="none" w:sz="0" w:space="0" w:color="auto"/>
                  </w:divBdr>
                </w:div>
                <w:div w:id="1858544883">
                  <w:marLeft w:val="0"/>
                  <w:marRight w:val="0"/>
                  <w:marTop w:val="0"/>
                  <w:marBottom w:val="0"/>
                  <w:divBdr>
                    <w:top w:val="none" w:sz="0" w:space="0" w:color="auto"/>
                    <w:left w:val="none" w:sz="0" w:space="0" w:color="auto"/>
                    <w:bottom w:val="none" w:sz="0" w:space="0" w:color="auto"/>
                    <w:right w:val="none" w:sz="0" w:space="0" w:color="auto"/>
                  </w:divBdr>
                </w:div>
                <w:div w:id="70545623">
                  <w:marLeft w:val="0"/>
                  <w:marRight w:val="0"/>
                  <w:marTop w:val="0"/>
                  <w:marBottom w:val="0"/>
                  <w:divBdr>
                    <w:top w:val="none" w:sz="0" w:space="0" w:color="auto"/>
                    <w:left w:val="none" w:sz="0" w:space="0" w:color="auto"/>
                    <w:bottom w:val="none" w:sz="0" w:space="0" w:color="auto"/>
                    <w:right w:val="none" w:sz="0" w:space="0" w:color="auto"/>
                  </w:divBdr>
                </w:div>
                <w:div w:id="62801163">
                  <w:marLeft w:val="0"/>
                  <w:marRight w:val="0"/>
                  <w:marTop w:val="0"/>
                  <w:marBottom w:val="0"/>
                  <w:divBdr>
                    <w:top w:val="none" w:sz="0" w:space="0" w:color="auto"/>
                    <w:left w:val="none" w:sz="0" w:space="0" w:color="auto"/>
                    <w:bottom w:val="none" w:sz="0" w:space="0" w:color="auto"/>
                    <w:right w:val="none" w:sz="0" w:space="0" w:color="auto"/>
                  </w:divBdr>
                </w:div>
                <w:div w:id="1083995267">
                  <w:marLeft w:val="0"/>
                  <w:marRight w:val="0"/>
                  <w:marTop w:val="0"/>
                  <w:marBottom w:val="0"/>
                  <w:divBdr>
                    <w:top w:val="none" w:sz="0" w:space="0" w:color="auto"/>
                    <w:left w:val="none" w:sz="0" w:space="0" w:color="auto"/>
                    <w:bottom w:val="none" w:sz="0" w:space="0" w:color="auto"/>
                    <w:right w:val="none" w:sz="0" w:space="0" w:color="auto"/>
                  </w:divBdr>
                </w:div>
                <w:div w:id="1638027444">
                  <w:marLeft w:val="0"/>
                  <w:marRight w:val="0"/>
                  <w:marTop w:val="0"/>
                  <w:marBottom w:val="0"/>
                  <w:divBdr>
                    <w:top w:val="none" w:sz="0" w:space="0" w:color="auto"/>
                    <w:left w:val="none" w:sz="0" w:space="0" w:color="auto"/>
                    <w:bottom w:val="none" w:sz="0" w:space="0" w:color="auto"/>
                    <w:right w:val="none" w:sz="0" w:space="0" w:color="auto"/>
                  </w:divBdr>
                </w:div>
                <w:div w:id="511266758">
                  <w:marLeft w:val="0"/>
                  <w:marRight w:val="0"/>
                  <w:marTop w:val="0"/>
                  <w:marBottom w:val="0"/>
                  <w:divBdr>
                    <w:top w:val="none" w:sz="0" w:space="0" w:color="auto"/>
                    <w:left w:val="none" w:sz="0" w:space="0" w:color="auto"/>
                    <w:bottom w:val="none" w:sz="0" w:space="0" w:color="auto"/>
                    <w:right w:val="none" w:sz="0" w:space="0" w:color="auto"/>
                  </w:divBdr>
                </w:div>
                <w:div w:id="249507810">
                  <w:marLeft w:val="0"/>
                  <w:marRight w:val="0"/>
                  <w:marTop w:val="0"/>
                  <w:marBottom w:val="0"/>
                  <w:divBdr>
                    <w:top w:val="none" w:sz="0" w:space="0" w:color="auto"/>
                    <w:left w:val="none" w:sz="0" w:space="0" w:color="auto"/>
                    <w:bottom w:val="none" w:sz="0" w:space="0" w:color="auto"/>
                    <w:right w:val="none" w:sz="0" w:space="0" w:color="auto"/>
                  </w:divBdr>
                </w:div>
                <w:div w:id="2012292687">
                  <w:marLeft w:val="0"/>
                  <w:marRight w:val="0"/>
                  <w:marTop w:val="0"/>
                  <w:marBottom w:val="0"/>
                  <w:divBdr>
                    <w:top w:val="none" w:sz="0" w:space="0" w:color="auto"/>
                    <w:left w:val="none" w:sz="0" w:space="0" w:color="auto"/>
                    <w:bottom w:val="none" w:sz="0" w:space="0" w:color="auto"/>
                    <w:right w:val="none" w:sz="0" w:space="0" w:color="auto"/>
                  </w:divBdr>
                </w:div>
                <w:div w:id="912666057">
                  <w:marLeft w:val="0"/>
                  <w:marRight w:val="0"/>
                  <w:marTop w:val="0"/>
                  <w:marBottom w:val="0"/>
                  <w:divBdr>
                    <w:top w:val="none" w:sz="0" w:space="0" w:color="auto"/>
                    <w:left w:val="none" w:sz="0" w:space="0" w:color="auto"/>
                    <w:bottom w:val="none" w:sz="0" w:space="0" w:color="auto"/>
                    <w:right w:val="none" w:sz="0" w:space="0" w:color="auto"/>
                  </w:divBdr>
                </w:div>
                <w:div w:id="21008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ad1.adfarm1.adition.com/redi*lid=6199828769735835897/sid=309690/kid=142276/bid=730172/c=15790/keyword=/sr=184/clickurl=http:/customer.immowelt.de/interhy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2015-09-29T07:29:00Z</dcterms:created>
  <dcterms:modified xsi:type="dcterms:W3CDTF">2015-09-29T07:29:00Z</dcterms:modified>
</cp:coreProperties>
</file>